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59E9" w14:textId="3D66BA1B" w:rsidR="00125AE0" w:rsidRPr="00B2665C" w:rsidRDefault="00125AE0" w:rsidP="00B63769">
      <w:pPr>
        <w:jc w:val="center"/>
        <w:rPr>
          <w:sz w:val="20"/>
          <w:szCs w:val="20"/>
        </w:rPr>
      </w:pPr>
      <w:r w:rsidRPr="00B2665C">
        <w:rPr>
          <w:sz w:val="20"/>
          <w:szCs w:val="20"/>
        </w:rPr>
        <w:t>SAME Resilience and Architectur</w:t>
      </w:r>
      <w:r w:rsidR="00B97CF9" w:rsidRPr="00B2665C">
        <w:rPr>
          <w:sz w:val="20"/>
          <w:szCs w:val="20"/>
        </w:rPr>
        <w:t>al</w:t>
      </w:r>
      <w:r w:rsidRPr="00B2665C">
        <w:rPr>
          <w:sz w:val="20"/>
          <w:szCs w:val="20"/>
        </w:rPr>
        <w:t xml:space="preserve"> Practice COI’s I</w:t>
      </w:r>
      <w:r w:rsidR="00273681">
        <w:rPr>
          <w:sz w:val="20"/>
          <w:szCs w:val="20"/>
        </w:rPr>
        <w:t>ndustry Government Engagement (IGE)</w:t>
      </w:r>
      <w:r w:rsidRPr="00B2665C">
        <w:rPr>
          <w:sz w:val="20"/>
          <w:szCs w:val="20"/>
        </w:rPr>
        <w:t xml:space="preserve"> Initiative:</w:t>
      </w:r>
    </w:p>
    <w:p w14:paraId="675AA325" w14:textId="2BA619E8" w:rsidR="00125AE0" w:rsidRPr="00B2665C" w:rsidRDefault="00B63769" w:rsidP="00125AE0">
      <w:pPr>
        <w:jc w:val="center"/>
        <w:rPr>
          <w:sz w:val="20"/>
          <w:szCs w:val="20"/>
        </w:rPr>
      </w:pPr>
      <w:r>
        <w:rPr>
          <w:sz w:val="20"/>
          <w:szCs w:val="20"/>
        </w:rPr>
        <w:t>Planning for Federal Facility Innovation</w:t>
      </w:r>
    </w:p>
    <w:p w14:paraId="4B80E595" w14:textId="77777777" w:rsidR="00125AE0" w:rsidRPr="002A2441" w:rsidRDefault="00125AE0">
      <w:pPr>
        <w:rPr>
          <w:sz w:val="10"/>
          <w:szCs w:val="10"/>
        </w:rPr>
      </w:pPr>
    </w:p>
    <w:p w14:paraId="582953D5" w14:textId="2AD83FCF" w:rsidR="00512C54" w:rsidRPr="00AF6295" w:rsidRDefault="00702711">
      <w:pPr>
        <w:rPr>
          <w:i/>
          <w:iCs/>
          <w:sz w:val="19"/>
          <w:szCs w:val="19"/>
        </w:rPr>
      </w:pPr>
      <w:r>
        <w:rPr>
          <w:b/>
          <w:bCs/>
          <w:sz w:val="19"/>
          <w:szCs w:val="19"/>
        </w:rPr>
        <w:t>The challenge.</w:t>
      </w:r>
      <w:r w:rsidR="00AF6295">
        <w:rPr>
          <w:b/>
          <w:bCs/>
          <w:sz w:val="19"/>
          <w:szCs w:val="19"/>
        </w:rPr>
        <w:t xml:space="preserve">  </w:t>
      </w:r>
      <w:r w:rsidR="00FB2A09">
        <w:rPr>
          <w:i/>
          <w:iCs/>
          <w:sz w:val="19"/>
          <w:szCs w:val="19"/>
        </w:rPr>
        <w:t xml:space="preserve">Aligning federal facility planning efficiently with rapidly evolving resilience and mission requirements </w:t>
      </w:r>
      <w:r w:rsidR="00AF6295" w:rsidRPr="00AF6295">
        <w:rPr>
          <w:i/>
          <w:iCs/>
          <w:sz w:val="19"/>
          <w:szCs w:val="19"/>
        </w:rPr>
        <w:t xml:space="preserve"> </w:t>
      </w:r>
    </w:p>
    <w:p w14:paraId="551FD080" w14:textId="237199E3" w:rsidR="00702711" w:rsidRPr="002A2441" w:rsidRDefault="00702711">
      <w:pPr>
        <w:rPr>
          <w:b/>
          <w:bCs/>
          <w:sz w:val="10"/>
          <w:szCs w:val="10"/>
        </w:rPr>
      </w:pPr>
      <w:r>
        <w:rPr>
          <w:b/>
          <w:bCs/>
          <w:sz w:val="19"/>
          <w:szCs w:val="19"/>
        </w:rPr>
        <w:t xml:space="preserve"> </w:t>
      </w:r>
    </w:p>
    <w:p w14:paraId="44AA0909" w14:textId="33DBC837" w:rsidR="00BD2A8E" w:rsidRPr="00D94CE1" w:rsidRDefault="00934456" w:rsidP="00BD2A8E">
      <w:pPr>
        <w:rPr>
          <w:sz w:val="19"/>
          <w:szCs w:val="19"/>
        </w:rPr>
      </w:pPr>
      <w:r w:rsidRPr="00512C54">
        <w:rPr>
          <w:b/>
          <w:bCs/>
          <w:sz w:val="19"/>
          <w:szCs w:val="19"/>
          <w:u w:val="single"/>
        </w:rPr>
        <w:t>Trend Convergence</w:t>
      </w:r>
      <w:r w:rsidRPr="00702711">
        <w:rPr>
          <w:sz w:val="19"/>
          <w:szCs w:val="19"/>
        </w:rPr>
        <w:t xml:space="preserve"> </w:t>
      </w:r>
      <w:r w:rsidR="003E7FE4">
        <w:rPr>
          <w:sz w:val="19"/>
          <w:szCs w:val="19"/>
        </w:rPr>
        <w:t>and the rapid pace of change are</w:t>
      </w:r>
      <w:r w:rsidRPr="00702711">
        <w:rPr>
          <w:sz w:val="19"/>
          <w:szCs w:val="19"/>
        </w:rPr>
        <w:t xml:space="preserve"> creating opportunit</w:t>
      </w:r>
      <w:r w:rsidR="003E7FE4">
        <w:rPr>
          <w:sz w:val="19"/>
          <w:szCs w:val="19"/>
        </w:rPr>
        <w:t>ies</w:t>
      </w:r>
      <w:r w:rsidRPr="00702711">
        <w:rPr>
          <w:sz w:val="19"/>
          <w:szCs w:val="19"/>
        </w:rPr>
        <w:t xml:space="preserve"> to redefine the role of </w:t>
      </w:r>
      <w:r w:rsidR="00AB5170">
        <w:rPr>
          <w:sz w:val="19"/>
          <w:szCs w:val="19"/>
        </w:rPr>
        <w:t xml:space="preserve">federal </w:t>
      </w:r>
      <w:r w:rsidR="00AB5170" w:rsidRPr="00702711">
        <w:rPr>
          <w:sz w:val="19"/>
          <w:szCs w:val="19"/>
        </w:rPr>
        <w:t>installations</w:t>
      </w:r>
      <w:r w:rsidRPr="00702711">
        <w:rPr>
          <w:sz w:val="19"/>
          <w:szCs w:val="19"/>
        </w:rPr>
        <w:t xml:space="preserve"> </w:t>
      </w:r>
    </w:p>
    <w:p w14:paraId="5F08E01D" w14:textId="77777777" w:rsidR="00BD2A8E" w:rsidRPr="005D0A13" w:rsidRDefault="00BD2A8E" w:rsidP="00BD2A8E">
      <w:pPr>
        <w:rPr>
          <w:sz w:val="10"/>
          <w:szCs w:val="10"/>
        </w:rPr>
      </w:pPr>
    </w:p>
    <w:p w14:paraId="1BA90AF8" w14:textId="5104A686" w:rsidR="00BD2A8E" w:rsidRPr="00D94CE1" w:rsidRDefault="00BD2A8E" w:rsidP="00B2665C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D94CE1">
        <w:rPr>
          <w:sz w:val="19"/>
          <w:szCs w:val="19"/>
        </w:rPr>
        <w:t>The world is entering a data and analytics</w:t>
      </w:r>
      <w:r w:rsidR="00B2665C" w:rsidRPr="00D94CE1">
        <w:rPr>
          <w:sz w:val="19"/>
          <w:szCs w:val="19"/>
        </w:rPr>
        <w:t xml:space="preserve"> generation</w:t>
      </w:r>
      <w:r w:rsidRPr="00D94CE1">
        <w:rPr>
          <w:sz w:val="19"/>
          <w:szCs w:val="19"/>
        </w:rPr>
        <w:t xml:space="preserve">. Data is emerging </w:t>
      </w:r>
      <w:r w:rsidR="00B2665C" w:rsidRPr="00D94CE1">
        <w:rPr>
          <w:sz w:val="19"/>
          <w:szCs w:val="19"/>
        </w:rPr>
        <w:t>as the strategic currency</w:t>
      </w:r>
      <w:r w:rsidR="00342542">
        <w:rPr>
          <w:sz w:val="19"/>
          <w:szCs w:val="19"/>
        </w:rPr>
        <w:t xml:space="preserve"> and is changing the security and sanctuary of military</w:t>
      </w:r>
      <w:r w:rsidR="00AF6295">
        <w:rPr>
          <w:sz w:val="19"/>
          <w:szCs w:val="19"/>
        </w:rPr>
        <w:t xml:space="preserve"> and federal</w:t>
      </w:r>
      <w:r w:rsidR="00342542">
        <w:rPr>
          <w:sz w:val="19"/>
          <w:szCs w:val="19"/>
        </w:rPr>
        <w:t xml:space="preserve"> installations as we have know them. </w:t>
      </w:r>
    </w:p>
    <w:p w14:paraId="5F9A196C" w14:textId="45FEBB66" w:rsidR="00B2665C" w:rsidRPr="00D94CE1" w:rsidRDefault="00B2665C" w:rsidP="00B2665C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D94CE1">
        <w:rPr>
          <w:sz w:val="19"/>
          <w:szCs w:val="19"/>
        </w:rPr>
        <w:t>Severe weather is increasing</w:t>
      </w:r>
      <w:r w:rsidR="00342542">
        <w:rPr>
          <w:sz w:val="19"/>
          <w:szCs w:val="19"/>
        </w:rPr>
        <w:t xml:space="preserve"> and creating vulnerabilities for many installations.  Some vulnerabilities will impact m</w:t>
      </w:r>
      <w:r w:rsidRPr="00D94CE1">
        <w:rPr>
          <w:sz w:val="19"/>
          <w:szCs w:val="19"/>
        </w:rPr>
        <w:t xml:space="preserve">ilitary operations </w:t>
      </w:r>
      <w:r w:rsidR="00342542">
        <w:rPr>
          <w:sz w:val="19"/>
          <w:szCs w:val="19"/>
        </w:rPr>
        <w:t xml:space="preserve">in yet to be understood ways. </w:t>
      </w:r>
    </w:p>
    <w:p w14:paraId="1DC843E3" w14:textId="6D958A6A" w:rsidR="00B2665C" w:rsidRPr="00D94CE1" w:rsidRDefault="0008542E" w:rsidP="00B2665C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D94CE1">
        <w:rPr>
          <w:sz w:val="19"/>
          <w:szCs w:val="19"/>
        </w:rPr>
        <w:t>The DoD</w:t>
      </w:r>
      <w:r w:rsidR="00AF6295">
        <w:rPr>
          <w:sz w:val="19"/>
          <w:szCs w:val="19"/>
        </w:rPr>
        <w:t xml:space="preserve"> and Federal Agencies are </w:t>
      </w:r>
      <w:r w:rsidR="00342542">
        <w:rPr>
          <w:sz w:val="19"/>
          <w:szCs w:val="19"/>
        </w:rPr>
        <w:t xml:space="preserve">moving into a new “wave” of </w:t>
      </w:r>
      <w:r w:rsidR="00B2665C" w:rsidRPr="00D94CE1">
        <w:rPr>
          <w:sz w:val="19"/>
          <w:szCs w:val="19"/>
        </w:rPr>
        <w:t>advanced technology</w:t>
      </w:r>
      <w:r w:rsidR="00342542">
        <w:rPr>
          <w:sz w:val="19"/>
          <w:szCs w:val="19"/>
        </w:rPr>
        <w:t xml:space="preserve"> in most if not all its </w:t>
      </w:r>
      <w:r w:rsidR="00FB2A09">
        <w:rPr>
          <w:sz w:val="19"/>
          <w:szCs w:val="19"/>
        </w:rPr>
        <w:t>traditional and emerging missions</w:t>
      </w:r>
      <w:r w:rsidR="00342542">
        <w:rPr>
          <w:sz w:val="19"/>
          <w:szCs w:val="19"/>
        </w:rPr>
        <w:t xml:space="preserve">, </w:t>
      </w:r>
      <w:r w:rsidR="00FB2A09">
        <w:rPr>
          <w:sz w:val="19"/>
          <w:szCs w:val="19"/>
        </w:rPr>
        <w:t xml:space="preserve">with new requirements </w:t>
      </w:r>
      <w:r w:rsidR="003E7FE4">
        <w:rPr>
          <w:sz w:val="19"/>
          <w:szCs w:val="19"/>
        </w:rPr>
        <w:t xml:space="preserve">in facilities </w:t>
      </w:r>
      <w:r w:rsidR="00FB2A09">
        <w:rPr>
          <w:sz w:val="19"/>
          <w:szCs w:val="19"/>
        </w:rPr>
        <w:t xml:space="preserve">for </w:t>
      </w:r>
      <w:r w:rsidR="003E7FE4">
        <w:rPr>
          <w:sz w:val="19"/>
          <w:szCs w:val="19"/>
        </w:rPr>
        <w:t>mission assurance, environmental resilience,</w:t>
      </w:r>
      <w:r w:rsidR="00FB2A09">
        <w:rPr>
          <w:sz w:val="19"/>
          <w:szCs w:val="19"/>
        </w:rPr>
        <w:t xml:space="preserve"> </w:t>
      </w:r>
      <w:r w:rsidR="00FB2A09" w:rsidRPr="00D94CE1">
        <w:rPr>
          <w:sz w:val="19"/>
          <w:szCs w:val="19"/>
        </w:rPr>
        <w:t>cyber</w:t>
      </w:r>
      <w:r w:rsidR="00FB2A09">
        <w:rPr>
          <w:sz w:val="19"/>
          <w:szCs w:val="19"/>
        </w:rPr>
        <w:t>security</w:t>
      </w:r>
      <w:r w:rsidR="00B2665C" w:rsidRPr="00D94CE1">
        <w:rPr>
          <w:sz w:val="19"/>
          <w:szCs w:val="19"/>
        </w:rPr>
        <w:t xml:space="preserve">, </w:t>
      </w:r>
      <w:r w:rsidR="00FB2A09">
        <w:rPr>
          <w:sz w:val="19"/>
          <w:szCs w:val="19"/>
        </w:rPr>
        <w:t>enhanced telecommunications</w:t>
      </w:r>
      <w:r w:rsidR="00B2665C" w:rsidRPr="00D94CE1">
        <w:rPr>
          <w:sz w:val="19"/>
          <w:szCs w:val="19"/>
        </w:rPr>
        <w:t xml:space="preserve">, and </w:t>
      </w:r>
      <w:r w:rsidR="003E7FE4">
        <w:rPr>
          <w:sz w:val="19"/>
          <w:szCs w:val="19"/>
        </w:rPr>
        <w:t>digital architectures</w:t>
      </w:r>
      <w:r w:rsidR="003E7FE4" w:rsidRPr="00D94CE1">
        <w:rPr>
          <w:sz w:val="19"/>
          <w:szCs w:val="19"/>
        </w:rPr>
        <w:t xml:space="preserve"> </w:t>
      </w:r>
      <w:r w:rsidR="003E7FE4">
        <w:rPr>
          <w:sz w:val="19"/>
          <w:szCs w:val="19"/>
        </w:rPr>
        <w:t xml:space="preserve">to enable </w:t>
      </w:r>
      <w:r w:rsidR="00B2665C" w:rsidRPr="00D94CE1">
        <w:rPr>
          <w:sz w:val="19"/>
          <w:szCs w:val="19"/>
        </w:rPr>
        <w:t>artificial intelligence</w:t>
      </w:r>
      <w:r w:rsidR="003E7FE4">
        <w:rPr>
          <w:sz w:val="19"/>
          <w:szCs w:val="19"/>
        </w:rPr>
        <w:t>, machine learning and advanced manufacturing</w:t>
      </w:r>
      <w:r w:rsidR="00B2665C" w:rsidRPr="00D94CE1">
        <w:rPr>
          <w:sz w:val="19"/>
          <w:szCs w:val="19"/>
        </w:rPr>
        <w:t>.</w:t>
      </w:r>
    </w:p>
    <w:p w14:paraId="765189BC" w14:textId="77598305" w:rsidR="00B2665C" w:rsidRPr="00D94CE1" w:rsidRDefault="00342542" w:rsidP="00B2665C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Major </w:t>
      </w:r>
      <w:r w:rsidR="00AB5170">
        <w:rPr>
          <w:sz w:val="19"/>
          <w:szCs w:val="19"/>
        </w:rPr>
        <w:t>a</w:t>
      </w:r>
      <w:r w:rsidR="00AB5170" w:rsidRPr="00D94CE1">
        <w:rPr>
          <w:sz w:val="19"/>
          <w:szCs w:val="19"/>
        </w:rPr>
        <w:t>dvances in</w:t>
      </w:r>
      <w:r w:rsidR="00B2665C" w:rsidRPr="00D94CE1">
        <w:rPr>
          <w:sz w:val="19"/>
          <w:szCs w:val="19"/>
        </w:rPr>
        <w:t xml:space="preserve"> </w:t>
      </w:r>
      <w:r w:rsidR="003E7FE4">
        <w:rPr>
          <w:sz w:val="19"/>
          <w:szCs w:val="19"/>
        </w:rPr>
        <w:t>new weapon systems</w:t>
      </w:r>
      <w:r>
        <w:rPr>
          <w:sz w:val="19"/>
          <w:szCs w:val="19"/>
        </w:rPr>
        <w:t xml:space="preserve"> are on the deployment horizon and will reshape </w:t>
      </w:r>
      <w:r w:rsidR="003E7FE4">
        <w:rPr>
          <w:sz w:val="19"/>
          <w:szCs w:val="19"/>
        </w:rPr>
        <w:t>requirements for optimal and efficient support provided by both legacy and new basing concepts</w:t>
      </w:r>
      <w:r w:rsidR="00B2665C" w:rsidRPr="00D94CE1">
        <w:rPr>
          <w:sz w:val="19"/>
          <w:szCs w:val="19"/>
        </w:rPr>
        <w:t>.</w:t>
      </w:r>
    </w:p>
    <w:p w14:paraId="32E08821" w14:textId="77777777" w:rsidR="00BD2A8E" w:rsidRPr="005D0A13" w:rsidRDefault="00BD2A8E" w:rsidP="00BD2A8E">
      <w:pPr>
        <w:rPr>
          <w:sz w:val="10"/>
          <w:szCs w:val="10"/>
        </w:rPr>
      </w:pPr>
    </w:p>
    <w:p w14:paraId="4BBE67B4" w14:textId="6B817EB8" w:rsidR="00CE55D4" w:rsidRDefault="00FB2A09" w:rsidP="00BD2A8E">
      <w:pPr>
        <w:rPr>
          <w:sz w:val="19"/>
          <w:szCs w:val="19"/>
        </w:rPr>
      </w:pPr>
      <w:r>
        <w:rPr>
          <w:sz w:val="19"/>
          <w:szCs w:val="19"/>
        </w:rPr>
        <w:t>T</w:t>
      </w:r>
      <w:r w:rsidR="00702711">
        <w:rPr>
          <w:sz w:val="19"/>
          <w:szCs w:val="19"/>
        </w:rPr>
        <w:t xml:space="preserve">he first signs of rapid and in some cases </w:t>
      </w:r>
      <w:r w:rsidR="000753BA" w:rsidRPr="00D94CE1">
        <w:rPr>
          <w:sz w:val="19"/>
          <w:szCs w:val="19"/>
        </w:rPr>
        <w:t xml:space="preserve">radical change </w:t>
      </w:r>
      <w:r w:rsidR="00702711">
        <w:rPr>
          <w:sz w:val="19"/>
          <w:szCs w:val="19"/>
        </w:rPr>
        <w:t>to</w:t>
      </w:r>
      <w:r w:rsidR="000753BA" w:rsidRPr="00D94CE1">
        <w:rPr>
          <w:sz w:val="19"/>
          <w:szCs w:val="19"/>
        </w:rPr>
        <w:t xml:space="preserve"> the status quo </w:t>
      </w:r>
      <w:r w:rsidR="00AB5170">
        <w:rPr>
          <w:sz w:val="19"/>
          <w:szCs w:val="19"/>
        </w:rPr>
        <w:t>lead</w:t>
      </w:r>
      <w:r w:rsidR="000753BA" w:rsidRPr="00D94CE1">
        <w:rPr>
          <w:sz w:val="19"/>
          <w:szCs w:val="19"/>
        </w:rPr>
        <w:t xml:space="preserve"> to </w:t>
      </w:r>
      <w:r w:rsidR="00702711">
        <w:rPr>
          <w:sz w:val="19"/>
          <w:szCs w:val="19"/>
        </w:rPr>
        <w:t>surprise and early technical</w:t>
      </w:r>
      <w:r w:rsidR="000753BA" w:rsidRPr="00D94CE1">
        <w:rPr>
          <w:sz w:val="19"/>
          <w:szCs w:val="19"/>
        </w:rPr>
        <w:t xml:space="preserve"> obsolescence. The </w:t>
      </w:r>
      <w:r w:rsidR="00702711">
        <w:rPr>
          <w:sz w:val="19"/>
          <w:szCs w:val="19"/>
        </w:rPr>
        <w:t xml:space="preserve">research, development, and manufacturing base as well as the </w:t>
      </w:r>
      <w:r w:rsidR="000753BA" w:rsidRPr="00D94CE1">
        <w:rPr>
          <w:sz w:val="19"/>
          <w:szCs w:val="19"/>
        </w:rPr>
        <w:t xml:space="preserve">defense </w:t>
      </w:r>
      <w:r w:rsidR="00702711">
        <w:rPr>
          <w:sz w:val="19"/>
          <w:szCs w:val="19"/>
        </w:rPr>
        <w:t xml:space="preserve">installations must rethink their programs, policies, and procedures </w:t>
      </w:r>
      <w:r w:rsidR="003E7FE4">
        <w:rPr>
          <w:sz w:val="19"/>
          <w:szCs w:val="19"/>
        </w:rPr>
        <w:t xml:space="preserve">to provide effective and efficient platforms for training, </w:t>
      </w:r>
      <w:r w:rsidR="00AB5170">
        <w:rPr>
          <w:sz w:val="19"/>
          <w:szCs w:val="19"/>
        </w:rPr>
        <w:t>operations,</w:t>
      </w:r>
      <w:r w:rsidR="003E7FE4">
        <w:rPr>
          <w:sz w:val="19"/>
          <w:szCs w:val="19"/>
        </w:rPr>
        <w:t xml:space="preserve"> and industrial support</w:t>
      </w:r>
      <w:r w:rsidR="00702711">
        <w:rPr>
          <w:sz w:val="19"/>
          <w:szCs w:val="19"/>
        </w:rPr>
        <w:t>.</w:t>
      </w:r>
    </w:p>
    <w:p w14:paraId="4A2CF10A" w14:textId="54617E32" w:rsidR="00512C54" w:rsidRPr="00D94CE1" w:rsidRDefault="00512C54" w:rsidP="00BD2A8E">
      <w:pPr>
        <w:rPr>
          <w:sz w:val="19"/>
          <w:szCs w:val="19"/>
        </w:rPr>
      </w:pPr>
      <w:r>
        <w:rPr>
          <w:sz w:val="19"/>
          <w:szCs w:val="19"/>
        </w:rPr>
        <w:t>Consider the impact of artificial intelligence on OSINT today.  Consider the impact of hypersonic flight and low observables of yesterday. Consider the installation dependence on its community-based housing, power, water</w:t>
      </w:r>
      <w:r w:rsidR="00AF6295">
        <w:rPr>
          <w:sz w:val="19"/>
          <w:szCs w:val="19"/>
        </w:rPr>
        <w:t>,</w:t>
      </w:r>
      <w:r>
        <w:rPr>
          <w:sz w:val="19"/>
          <w:szCs w:val="19"/>
        </w:rPr>
        <w:t xml:space="preserve"> and waste. Consider the impacts of satellites and global unmanned </w:t>
      </w:r>
      <w:r w:rsidR="00AB5170">
        <w:rPr>
          <w:sz w:val="19"/>
          <w:szCs w:val="19"/>
        </w:rPr>
        <w:t>vehicles</w:t>
      </w:r>
      <w:r>
        <w:rPr>
          <w:sz w:val="19"/>
          <w:szCs w:val="19"/>
        </w:rPr>
        <w:t xml:space="preserve"> over the past 20 years.  </w:t>
      </w:r>
      <w:r w:rsidRPr="00AF6295">
        <w:rPr>
          <w:i/>
          <w:iCs/>
          <w:sz w:val="19"/>
          <w:szCs w:val="19"/>
        </w:rPr>
        <w:t>Were we ready or did we scramble?</w:t>
      </w:r>
      <w:r>
        <w:rPr>
          <w:sz w:val="19"/>
          <w:szCs w:val="19"/>
        </w:rPr>
        <w:t xml:space="preserve"> </w:t>
      </w:r>
    </w:p>
    <w:p w14:paraId="4723DB30" w14:textId="77777777" w:rsidR="00CE55D4" w:rsidRPr="005D0A13" w:rsidRDefault="00CE55D4" w:rsidP="00BD2A8E">
      <w:pPr>
        <w:rPr>
          <w:sz w:val="10"/>
          <w:szCs w:val="10"/>
        </w:rPr>
      </w:pPr>
    </w:p>
    <w:p w14:paraId="24AF8CB6" w14:textId="63936C3D" w:rsidR="0008542E" w:rsidRPr="00AF6295" w:rsidRDefault="00512C54" w:rsidP="00BD2A8E">
      <w:pPr>
        <w:rPr>
          <w:i/>
          <w:iCs/>
          <w:sz w:val="19"/>
          <w:szCs w:val="19"/>
        </w:rPr>
      </w:pPr>
      <w:r w:rsidRPr="00AF6295">
        <w:rPr>
          <w:i/>
          <w:iCs/>
          <w:sz w:val="19"/>
          <w:szCs w:val="19"/>
        </w:rPr>
        <w:t xml:space="preserve">History and many noted authors like </w:t>
      </w:r>
      <w:r w:rsidR="0008542E" w:rsidRPr="00AF6295">
        <w:rPr>
          <w:i/>
          <w:iCs/>
          <w:sz w:val="19"/>
          <w:szCs w:val="19"/>
        </w:rPr>
        <w:t xml:space="preserve">John P Kotter in Leading Change </w:t>
      </w:r>
      <w:r w:rsidR="00AB5170" w:rsidRPr="00AF6295">
        <w:rPr>
          <w:i/>
          <w:iCs/>
          <w:sz w:val="19"/>
          <w:szCs w:val="19"/>
        </w:rPr>
        <w:t>argue that</w:t>
      </w:r>
      <w:r w:rsidR="0008542E" w:rsidRPr="00AF6295">
        <w:rPr>
          <w:i/>
          <w:iCs/>
          <w:sz w:val="19"/>
          <w:szCs w:val="19"/>
        </w:rPr>
        <w:t xml:space="preserve"> in a globalized, ever-evolving environment, successful organizations are those that can implement </w:t>
      </w:r>
      <w:r w:rsidR="00570C2C" w:rsidRPr="00AF6295">
        <w:rPr>
          <w:i/>
          <w:iCs/>
          <w:sz w:val="19"/>
          <w:szCs w:val="19"/>
        </w:rPr>
        <w:t xml:space="preserve">long-term change. </w:t>
      </w:r>
      <w:r w:rsidRPr="00AF6295">
        <w:rPr>
          <w:i/>
          <w:iCs/>
          <w:sz w:val="19"/>
          <w:szCs w:val="19"/>
        </w:rPr>
        <w:t xml:space="preserve">This initiative is about defining what that long term change looks like for the installation planning functions across the defense establishment. </w:t>
      </w:r>
    </w:p>
    <w:p w14:paraId="47119463" w14:textId="77777777" w:rsidR="0008542E" w:rsidRPr="005D0A13" w:rsidRDefault="0008542E" w:rsidP="00BD2A8E">
      <w:pPr>
        <w:rPr>
          <w:sz w:val="10"/>
          <w:szCs w:val="10"/>
        </w:rPr>
      </w:pPr>
    </w:p>
    <w:p w14:paraId="03A79E4C" w14:textId="07081FBF" w:rsidR="0008542E" w:rsidRPr="00D94CE1" w:rsidRDefault="0008542E" w:rsidP="00BD2A8E">
      <w:pPr>
        <w:rPr>
          <w:b/>
          <w:bCs/>
          <w:sz w:val="19"/>
          <w:szCs w:val="19"/>
        </w:rPr>
      </w:pPr>
      <w:r w:rsidRPr="00D94CE1">
        <w:rPr>
          <w:b/>
          <w:bCs/>
          <w:sz w:val="19"/>
          <w:szCs w:val="19"/>
        </w:rPr>
        <w:t>Mission Statement:</w:t>
      </w:r>
    </w:p>
    <w:p w14:paraId="53EA7022" w14:textId="7F12CE62" w:rsidR="00BD2A8E" w:rsidRPr="00D94CE1" w:rsidRDefault="00273681" w:rsidP="00BD2A8E">
      <w:pPr>
        <w:rPr>
          <w:sz w:val="19"/>
          <w:szCs w:val="19"/>
        </w:rPr>
      </w:pPr>
      <w:r w:rsidRPr="00D94CE1">
        <w:rPr>
          <w:sz w:val="19"/>
          <w:szCs w:val="19"/>
        </w:rPr>
        <w:t xml:space="preserve">Determine the policies and best practices for the services/agencies to proactively </w:t>
      </w:r>
      <w:r w:rsidR="00827A05">
        <w:rPr>
          <w:sz w:val="19"/>
          <w:szCs w:val="19"/>
        </w:rPr>
        <w:t>enhance</w:t>
      </w:r>
      <w:r w:rsidRPr="00D94CE1">
        <w:rPr>
          <w:sz w:val="19"/>
          <w:szCs w:val="19"/>
        </w:rPr>
        <w:t xml:space="preserve"> future </w:t>
      </w:r>
      <w:r w:rsidR="00827A05">
        <w:rPr>
          <w:sz w:val="19"/>
          <w:szCs w:val="19"/>
        </w:rPr>
        <w:t xml:space="preserve">federal </w:t>
      </w:r>
      <w:r w:rsidRPr="00D94CE1">
        <w:rPr>
          <w:sz w:val="19"/>
          <w:szCs w:val="19"/>
        </w:rPr>
        <w:t>facility planning to meet long-term mission requirements and weapon system changes.</w:t>
      </w:r>
    </w:p>
    <w:p w14:paraId="7D84B7D1" w14:textId="77777777" w:rsidR="00CE55D4" w:rsidRPr="00273681" w:rsidRDefault="00CE55D4" w:rsidP="00273681">
      <w:pPr>
        <w:rPr>
          <w:sz w:val="10"/>
          <w:szCs w:val="10"/>
        </w:rPr>
      </w:pPr>
    </w:p>
    <w:p w14:paraId="7D37A0E0" w14:textId="57941A27" w:rsidR="00B63769" w:rsidRDefault="00B63769" w:rsidP="00B63769">
      <w:pPr>
        <w:rPr>
          <w:rFonts w:cstheme="minorHAnsi"/>
          <w:sz w:val="19"/>
          <w:szCs w:val="19"/>
        </w:rPr>
      </w:pPr>
      <w:r w:rsidRPr="00D94CE1">
        <w:rPr>
          <w:rFonts w:cstheme="minorHAnsi"/>
          <w:b/>
          <w:bCs/>
          <w:sz w:val="19"/>
          <w:szCs w:val="19"/>
        </w:rPr>
        <w:t>Proposed Organization/Process</w:t>
      </w:r>
      <w:r w:rsidR="00273681" w:rsidRPr="00D94CE1">
        <w:rPr>
          <w:rFonts w:cstheme="minorHAnsi"/>
          <w:sz w:val="19"/>
          <w:szCs w:val="19"/>
        </w:rPr>
        <w:t>:</w:t>
      </w:r>
      <w:r w:rsidRPr="00D94CE1">
        <w:rPr>
          <w:rFonts w:cstheme="minorHAnsi"/>
          <w:sz w:val="19"/>
          <w:szCs w:val="19"/>
        </w:rPr>
        <w:t xml:space="preserve"> The </w:t>
      </w:r>
      <w:r w:rsidR="00273681" w:rsidRPr="00D94CE1">
        <w:rPr>
          <w:rFonts w:cstheme="minorHAnsi"/>
          <w:sz w:val="19"/>
          <w:szCs w:val="19"/>
        </w:rPr>
        <w:t>IGE</w:t>
      </w:r>
      <w:r w:rsidRPr="00D94CE1">
        <w:rPr>
          <w:rFonts w:cstheme="minorHAnsi"/>
          <w:sz w:val="19"/>
          <w:szCs w:val="19"/>
        </w:rPr>
        <w:t xml:space="preserve"> will be guided by an </w:t>
      </w:r>
      <w:r w:rsidR="009C050E" w:rsidRPr="00D94CE1">
        <w:rPr>
          <w:rFonts w:cstheme="minorHAnsi"/>
          <w:sz w:val="19"/>
          <w:szCs w:val="19"/>
        </w:rPr>
        <w:t>I</w:t>
      </w:r>
      <w:r w:rsidRPr="00D94CE1">
        <w:rPr>
          <w:rFonts w:cstheme="minorHAnsi"/>
          <w:sz w:val="19"/>
          <w:szCs w:val="19"/>
        </w:rPr>
        <w:t xml:space="preserve">ntegration </w:t>
      </w:r>
      <w:r w:rsidR="009C050E" w:rsidRPr="00D94CE1">
        <w:rPr>
          <w:rFonts w:cstheme="minorHAnsi"/>
          <w:sz w:val="19"/>
          <w:szCs w:val="19"/>
        </w:rPr>
        <w:t>T</w:t>
      </w:r>
      <w:r w:rsidRPr="00D94CE1">
        <w:rPr>
          <w:rFonts w:cstheme="minorHAnsi"/>
          <w:sz w:val="19"/>
          <w:szCs w:val="19"/>
        </w:rPr>
        <w:t>eam, composed of a representative from each service, industry representatives, and SAME Community of Interest (COI) members. This committee sets the direction for the</w:t>
      </w:r>
      <w:r w:rsidR="00273681" w:rsidRPr="00D94CE1">
        <w:rPr>
          <w:rFonts w:cstheme="minorHAnsi"/>
          <w:sz w:val="19"/>
          <w:szCs w:val="19"/>
        </w:rPr>
        <w:t xml:space="preserve"> </w:t>
      </w:r>
      <w:r w:rsidR="00265BA1" w:rsidRPr="00D94CE1">
        <w:rPr>
          <w:rFonts w:cstheme="minorHAnsi"/>
          <w:sz w:val="19"/>
          <w:szCs w:val="19"/>
        </w:rPr>
        <w:t>IGE</w:t>
      </w:r>
      <w:r w:rsidRPr="00D94CE1">
        <w:rPr>
          <w:rFonts w:cstheme="minorHAnsi"/>
          <w:sz w:val="19"/>
          <w:szCs w:val="19"/>
        </w:rPr>
        <w:t>, defines the operational perspective, and guides the workgroups</w:t>
      </w:r>
      <w:r w:rsidR="00265BA1" w:rsidRPr="00D94CE1">
        <w:rPr>
          <w:rFonts w:cstheme="minorHAnsi"/>
          <w:sz w:val="19"/>
          <w:szCs w:val="19"/>
        </w:rPr>
        <w:t xml:space="preserve"> (Resilience, Technology, Efficien</w:t>
      </w:r>
      <w:r w:rsidR="001F70C4" w:rsidRPr="00D94CE1">
        <w:rPr>
          <w:rFonts w:cstheme="minorHAnsi"/>
          <w:sz w:val="19"/>
          <w:szCs w:val="19"/>
        </w:rPr>
        <w:t>c</w:t>
      </w:r>
      <w:r w:rsidR="00265BA1" w:rsidRPr="00D94CE1">
        <w:rPr>
          <w:rFonts w:cstheme="minorHAnsi"/>
          <w:sz w:val="19"/>
          <w:szCs w:val="19"/>
        </w:rPr>
        <w:t>y/</w:t>
      </w:r>
      <w:r w:rsidR="001F70C4" w:rsidRPr="00D94CE1">
        <w:rPr>
          <w:rFonts w:cstheme="minorHAnsi"/>
          <w:sz w:val="19"/>
          <w:szCs w:val="19"/>
        </w:rPr>
        <w:t>Infrastructure, and Workforce)</w:t>
      </w:r>
      <w:r w:rsidRPr="00D94CE1">
        <w:rPr>
          <w:rFonts w:cstheme="minorHAnsi"/>
          <w:sz w:val="19"/>
          <w:szCs w:val="19"/>
        </w:rPr>
        <w:t xml:space="preserve"> with </w:t>
      </w:r>
      <w:r w:rsidR="001F70C4" w:rsidRPr="00D94CE1">
        <w:rPr>
          <w:rFonts w:cstheme="minorHAnsi"/>
          <w:sz w:val="19"/>
          <w:szCs w:val="19"/>
        </w:rPr>
        <w:t>Integration Team</w:t>
      </w:r>
      <w:r w:rsidRPr="00D94CE1">
        <w:rPr>
          <w:rFonts w:cstheme="minorHAnsi"/>
          <w:sz w:val="19"/>
          <w:szCs w:val="19"/>
        </w:rPr>
        <w:t xml:space="preserve"> members heading the workgroups</w:t>
      </w:r>
      <w:r w:rsidR="00265BA1" w:rsidRPr="00D94CE1">
        <w:rPr>
          <w:rFonts w:cstheme="minorHAnsi"/>
          <w:sz w:val="19"/>
          <w:szCs w:val="19"/>
        </w:rPr>
        <w:t xml:space="preserve">. </w:t>
      </w:r>
      <w:r w:rsidR="001F70C4" w:rsidRPr="00D94CE1">
        <w:rPr>
          <w:rFonts w:cstheme="minorHAnsi"/>
          <w:sz w:val="19"/>
          <w:szCs w:val="19"/>
        </w:rPr>
        <w:t>Work</w:t>
      </w:r>
      <w:r w:rsidR="00ED5446">
        <w:rPr>
          <w:rFonts w:cstheme="minorHAnsi"/>
          <w:sz w:val="19"/>
          <w:szCs w:val="19"/>
        </w:rPr>
        <w:t xml:space="preserve"> </w:t>
      </w:r>
      <w:r w:rsidR="001F70C4" w:rsidRPr="00D94CE1">
        <w:rPr>
          <w:rFonts w:cstheme="minorHAnsi"/>
          <w:sz w:val="19"/>
          <w:szCs w:val="19"/>
        </w:rPr>
        <w:t>group members come from SAME COIs</w:t>
      </w:r>
      <w:r w:rsidR="00AC5D78" w:rsidRPr="00D94CE1">
        <w:rPr>
          <w:rFonts w:cstheme="minorHAnsi"/>
          <w:sz w:val="19"/>
          <w:szCs w:val="19"/>
        </w:rPr>
        <w:t>,</w:t>
      </w:r>
      <w:r w:rsidR="001F70C4" w:rsidRPr="00D94CE1">
        <w:rPr>
          <w:rFonts w:cstheme="minorHAnsi"/>
          <w:sz w:val="19"/>
          <w:szCs w:val="19"/>
        </w:rPr>
        <w:t xml:space="preserve"> Posts</w:t>
      </w:r>
      <w:r w:rsidR="00AC5D78" w:rsidRPr="00D94CE1">
        <w:rPr>
          <w:rFonts w:cstheme="minorHAnsi"/>
          <w:sz w:val="19"/>
          <w:szCs w:val="19"/>
        </w:rPr>
        <w:t>, and partner professional organizations</w:t>
      </w:r>
      <w:r w:rsidR="001F70C4" w:rsidRPr="00D94CE1">
        <w:rPr>
          <w:rFonts w:cstheme="minorHAnsi"/>
          <w:sz w:val="19"/>
          <w:szCs w:val="19"/>
        </w:rPr>
        <w:t>.</w:t>
      </w:r>
      <w:r w:rsidR="00AC5D78" w:rsidRPr="00D94CE1">
        <w:rPr>
          <w:rFonts w:cstheme="minorHAnsi"/>
          <w:sz w:val="19"/>
          <w:szCs w:val="19"/>
        </w:rPr>
        <w:t xml:space="preserve"> </w:t>
      </w:r>
    </w:p>
    <w:p w14:paraId="007BFC8E" w14:textId="77777777" w:rsidR="00934456" w:rsidRPr="00D94CE1" w:rsidRDefault="00934456" w:rsidP="00B63769">
      <w:pPr>
        <w:rPr>
          <w:rFonts w:cstheme="minorHAnsi"/>
          <w:sz w:val="19"/>
          <w:szCs w:val="19"/>
        </w:rPr>
      </w:pPr>
    </w:p>
    <w:p w14:paraId="0E7C591A" w14:textId="02457358" w:rsidR="00265BA1" w:rsidRPr="00D94CE1" w:rsidRDefault="00934456" w:rsidP="005D0A13">
      <w:pPr>
        <w:rPr>
          <w:rFonts w:cstheme="minorHAnsi"/>
          <w:b/>
          <w:bCs/>
          <w:sz w:val="19"/>
          <w:szCs w:val="19"/>
        </w:rPr>
      </w:pPr>
      <w:r>
        <w:rPr>
          <w:rFonts w:ascii="Calibri" w:eastAsia="Times New Roman" w:hAnsi="Calibri" w:cs="Calibri"/>
          <w:b/>
          <w:bCs/>
          <w:noProof/>
          <w:color w:val="212121"/>
          <w:kern w:val="0"/>
          <w:u w:val="single"/>
        </w:rPr>
        <w:drawing>
          <wp:anchor distT="0" distB="0" distL="114300" distR="114300" simplePos="0" relativeHeight="251658240" behindDoc="0" locked="0" layoutInCell="1" allowOverlap="1" wp14:anchorId="0914A7AF" wp14:editId="2A2CAF64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3027918" cy="1990165"/>
            <wp:effectExtent l="0" t="0" r="1270" b="0"/>
            <wp:wrapThrough wrapText="bothSides">
              <wp:wrapPolygon edited="0">
                <wp:start x="0" y="0"/>
                <wp:lineTo x="0" y="21297"/>
                <wp:lineTo x="21473" y="21297"/>
                <wp:lineTo x="21473" y="0"/>
                <wp:lineTo x="0" y="0"/>
              </wp:wrapPolygon>
            </wp:wrapThrough>
            <wp:docPr id="358433762" name="Picture 1" descr="A picture containing text, screenshot, circl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3762" name="Picture 1" descr="A picture containing text, screenshot, circle, fon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7"/>
                    <a:stretch/>
                  </pic:blipFill>
                  <pic:spPr bwMode="auto">
                    <a:xfrm>
                      <a:off x="0" y="0"/>
                      <a:ext cx="3027918" cy="199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19"/>
          <w:szCs w:val="19"/>
        </w:rPr>
        <w:t>I</w:t>
      </w:r>
      <w:r w:rsidR="00265BA1" w:rsidRPr="00D94CE1">
        <w:rPr>
          <w:rFonts w:cstheme="minorHAnsi"/>
          <w:b/>
          <w:bCs/>
          <w:sz w:val="19"/>
          <w:szCs w:val="19"/>
        </w:rPr>
        <w:t>ntegration Team:</w:t>
      </w:r>
    </w:p>
    <w:p w14:paraId="25497922" w14:textId="0D8E5795" w:rsidR="00B63769" w:rsidRPr="00D94CE1" w:rsidRDefault="00B63769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b/>
          <w:bCs/>
          <w:sz w:val="19"/>
          <w:szCs w:val="19"/>
        </w:rPr>
      </w:pPr>
      <w:r w:rsidRPr="00D94CE1">
        <w:rPr>
          <w:rFonts w:cstheme="minorHAnsi"/>
          <w:b/>
          <w:bCs/>
          <w:sz w:val="19"/>
          <w:szCs w:val="19"/>
        </w:rPr>
        <w:t>Proposed Service Representatives:</w:t>
      </w:r>
    </w:p>
    <w:p w14:paraId="0EB8DE6D" w14:textId="0D5F5DC7" w:rsidR="00B63769" w:rsidRPr="00D94CE1" w:rsidRDefault="00B63769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 w:rsidRPr="00D94CE1">
        <w:rPr>
          <w:rFonts w:cstheme="minorHAnsi"/>
          <w:sz w:val="19"/>
          <w:szCs w:val="19"/>
        </w:rPr>
        <w:t>Army Representative – Edmond Gauvreau, FAIA, MSAME</w:t>
      </w:r>
      <w:r w:rsidR="00F8501D">
        <w:rPr>
          <w:rFonts w:cstheme="minorHAnsi"/>
          <w:sz w:val="19"/>
          <w:szCs w:val="19"/>
        </w:rPr>
        <w:t>, Base Master Planning Work Group and Randy Covington</w:t>
      </w:r>
      <w:r w:rsidR="00ED5446">
        <w:rPr>
          <w:rFonts w:cstheme="minorHAnsi"/>
          <w:sz w:val="19"/>
          <w:szCs w:val="19"/>
        </w:rPr>
        <w:t>,</w:t>
      </w:r>
      <w:r w:rsidRPr="00D94CE1">
        <w:rPr>
          <w:rFonts w:cstheme="minorHAnsi"/>
          <w:sz w:val="19"/>
          <w:szCs w:val="19"/>
        </w:rPr>
        <w:t xml:space="preserve"> HQ USACE</w:t>
      </w:r>
    </w:p>
    <w:p w14:paraId="6539C39A" w14:textId="7652C9DC" w:rsidR="00B63769" w:rsidRPr="00D94CE1" w:rsidRDefault="00B63769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 w:rsidRPr="00D94CE1">
        <w:rPr>
          <w:rFonts w:cstheme="minorHAnsi"/>
          <w:sz w:val="19"/>
          <w:szCs w:val="19"/>
        </w:rPr>
        <w:t>Navy/Marine Representative – Brandon Tobias</w:t>
      </w:r>
      <w:r w:rsidR="00F8501D">
        <w:rPr>
          <w:rFonts w:cstheme="minorHAnsi"/>
          <w:sz w:val="19"/>
          <w:szCs w:val="19"/>
        </w:rPr>
        <w:t xml:space="preserve"> and</w:t>
      </w:r>
      <w:r w:rsidRPr="00D94CE1">
        <w:rPr>
          <w:rFonts w:cstheme="minorHAnsi"/>
          <w:sz w:val="19"/>
          <w:szCs w:val="19"/>
        </w:rPr>
        <w:t xml:space="preserve"> Tracy Addis, NAVFAC</w:t>
      </w:r>
    </w:p>
    <w:p w14:paraId="7411DA23" w14:textId="77777777" w:rsidR="00B63769" w:rsidRPr="00D94CE1" w:rsidRDefault="00B63769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 w:rsidRPr="00D94CE1">
        <w:rPr>
          <w:rFonts w:cstheme="minorHAnsi"/>
          <w:sz w:val="19"/>
          <w:szCs w:val="19"/>
        </w:rPr>
        <w:t xml:space="preserve">Air Force – Andrew Scott, HQ AF </w:t>
      </w:r>
      <w:r w:rsidRPr="00D94CE1">
        <w:rPr>
          <w:sz w:val="19"/>
          <w:szCs w:val="19"/>
        </w:rPr>
        <w:t>and Amy VandeVeer, Air Force Civil Engineer Center</w:t>
      </w:r>
    </w:p>
    <w:p w14:paraId="45E64543" w14:textId="3ED70F67" w:rsidR="00B63769" w:rsidRDefault="00B63769" w:rsidP="00D94CE1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 w:rsidRPr="00D94CE1">
        <w:rPr>
          <w:rFonts w:cstheme="minorHAnsi"/>
          <w:sz w:val="19"/>
          <w:szCs w:val="19"/>
        </w:rPr>
        <w:t>Coast Guard – CAPT David Obermeier</w:t>
      </w:r>
      <w:r w:rsidR="00ED5446">
        <w:rPr>
          <w:rFonts w:cstheme="minorHAnsi"/>
          <w:sz w:val="19"/>
          <w:szCs w:val="19"/>
        </w:rPr>
        <w:t>, PE</w:t>
      </w:r>
      <w:r w:rsidR="00517C02">
        <w:rPr>
          <w:rFonts w:cstheme="minorHAnsi"/>
          <w:sz w:val="19"/>
          <w:szCs w:val="19"/>
        </w:rPr>
        <w:t>, FSAME</w:t>
      </w:r>
    </w:p>
    <w:p w14:paraId="70342176" w14:textId="79EF1C9E" w:rsidR="00827A05" w:rsidRPr="00D94CE1" w:rsidRDefault="00827A05" w:rsidP="00D94CE1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V</w:t>
      </w:r>
      <w:r w:rsidR="00517C02">
        <w:rPr>
          <w:rFonts w:cstheme="minorHAnsi"/>
          <w:sz w:val="19"/>
          <w:szCs w:val="19"/>
        </w:rPr>
        <w:t xml:space="preserve">eterans </w:t>
      </w:r>
      <w:r>
        <w:rPr>
          <w:rFonts w:cstheme="minorHAnsi"/>
          <w:sz w:val="19"/>
          <w:szCs w:val="19"/>
        </w:rPr>
        <w:t>A</w:t>
      </w:r>
      <w:r w:rsidR="00517C02">
        <w:rPr>
          <w:rFonts w:cstheme="minorHAnsi"/>
          <w:sz w:val="19"/>
          <w:szCs w:val="19"/>
        </w:rPr>
        <w:t>dministration</w:t>
      </w:r>
      <w:r>
        <w:rPr>
          <w:rFonts w:cstheme="minorHAnsi"/>
          <w:sz w:val="19"/>
          <w:szCs w:val="19"/>
        </w:rPr>
        <w:t>, State</w:t>
      </w:r>
      <w:r w:rsidR="00517C02">
        <w:rPr>
          <w:rFonts w:cstheme="minorHAnsi"/>
          <w:sz w:val="19"/>
          <w:szCs w:val="19"/>
        </w:rPr>
        <w:t xml:space="preserve"> Department</w:t>
      </w:r>
      <w:r w:rsidR="00133037">
        <w:rPr>
          <w:rFonts w:cstheme="minorHAnsi"/>
          <w:sz w:val="19"/>
          <w:szCs w:val="19"/>
        </w:rPr>
        <w:t>,</w:t>
      </w:r>
      <w:r>
        <w:rPr>
          <w:rFonts w:cstheme="minorHAnsi"/>
          <w:sz w:val="19"/>
          <w:szCs w:val="19"/>
        </w:rPr>
        <w:t xml:space="preserve"> or G</w:t>
      </w:r>
      <w:r w:rsidR="00517C02">
        <w:rPr>
          <w:rFonts w:cstheme="minorHAnsi"/>
          <w:sz w:val="19"/>
          <w:szCs w:val="19"/>
        </w:rPr>
        <w:t>eneral Services Administration</w:t>
      </w:r>
      <w:r>
        <w:rPr>
          <w:rFonts w:cstheme="minorHAnsi"/>
          <w:sz w:val="19"/>
          <w:szCs w:val="19"/>
        </w:rPr>
        <w:t xml:space="preserve"> Rep</w:t>
      </w:r>
      <w:r w:rsidR="00517C02">
        <w:rPr>
          <w:rFonts w:cstheme="minorHAnsi"/>
          <w:sz w:val="19"/>
          <w:szCs w:val="19"/>
        </w:rPr>
        <w:t>resentatives</w:t>
      </w:r>
    </w:p>
    <w:p w14:paraId="2DFBE3B9" w14:textId="77777777" w:rsidR="00B63769" w:rsidRPr="00D94CE1" w:rsidRDefault="00B63769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b/>
          <w:bCs/>
          <w:sz w:val="19"/>
          <w:szCs w:val="19"/>
        </w:rPr>
      </w:pPr>
      <w:r w:rsidRPr="00D94CE1">
        <w:rPr>
          <w:rFonts w:cstheme="minorHAnsi"/>
          <w:b/>
          <w:bCs/>
          <w:sz w:val="19"/>
          <w:szCs w:val="19"/>
        </w:rPr>
        <w:t>Industry and COI Representatives:</w:t>
      </w:r>
    </w:p>
    <w:p w14:paraId="335BF584" w14:textId="77777777" w:rsidR="00B63769" w:rsidRPr="00512C54" w:rsidRDefault="00B63769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  <w:sz w:val="19"/>
          <w:szCs w:val="19"/>
        </w:rPr>
      </w:pPr>
      <w:r w:rsidRPr="00D94CE1">
        <w:rPr>
          <w:rFonts w:cstheme="minorHAnsi"/>
          <w:sz w:val="19"/>
          <w:szCs w:val="19"/>
        </w:rPr>
        <w:t xml:space="preserve">John Mogge, Jr. PhD, </w:t>
      </w:r>
      <w:r w:rsidRPr="00D94CE1">
        <w:rPr>
          <w:rFonts w:cstheme="minorHAnsi"/>
          <w:color w:val="000000" w:themeColor="text1"/>
          <w:sz w:val="19"/>
          <w:szCs w:val="19"/>
        </w:rPr>
        <w:t>AIA, REM, FSAME, Colonel USAF (ret), Resilience Work Group</w:t>
      </w:r>
    </w:p>
    <w:p w14:paraId="3BA06AFE" w14:textId="77777777" w:rsidR="002A2441" w:rsidRPr="00D94CE1" w:rsidRDefault="002A2441" w:rsidP="002A2441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 w:rsidRPr="00D94CE1">
        <w:rPr>
          <w:rFonts w:cstheme="minorHAnsi"/>
          <w:sz w:val="19"/>
          <w:szCs w:val="19"/>
        </w:rPr>
        <w:t>Get Moy, PhD, PE, LEED AP, PMP, Resilience Work Group</w:t>
      </w:r>
    </w:p>
    <w:p w14:paraId="14357734" w14:textId="77777777" w:rsidR="002A2441" w:rsidRPr="00D94CE1" w:rsidRDefault="002A2441" w:rsidP="002A2441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 w:rsidRPr="00D94CE1">
        <w:rPr>
          <w:rFonts w:cstheme="minorHAnsi"/>
          <w:sz w:val="19"/>
          <w:szCs w:val="19"/>
        </w:rPr>
        <w:t>Lucian Niemeyer, Technology Work Group</w:t>
      </w:r>
    </w:p>
    <w:p w14:paraId="745479BE" w14:textId="1973DFDA" w:rsidR="00512C54" w:rsidRPr="00D94CE1" w:rsidRDefault="00512C54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color w:val="FF0000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Chris Geiger, </w:t>
      </w:r>
      <w:r w:rsidR="002A2441">
        <w:rPr>
          <w:rFonts w:cstheme="minorHAnsi"/>
          <w:sz w:val="19"/>
          <w:szCs w:val="19"/>
        </w:rPr>
        <w:t>D</w:t>
      </w:r>
      <w:r>
        <w:rPr>
          <w:rFonts w:cstheme="minorHAnsi"/>
          <w:sz w:val="19"/>
          <w:szCs w:val="19"/>
        </w:rPr>
        <w:t xml:space="preserve">irector of </w:t>
      </w:r>
      <w:r w:rsidR="002A2441">
        <w:rPr>
          <w:rFonts w:cstheme="minorHAnsi"/>
          <w:sz w:val="19"/>
          <w:szCs w:val="19"/>
        </w:rPr>
        <w:t>S</w:t>
      </w:r>
      <w:r>
        <w:rPr>
          <w:rFonts w:cstheme="minorHAnsi"/>
          <w:sz w:val="19"/>
          <w:szCs w:val="19"/>
        </w:rPr>
        <w:t xml:space="preserve">ustainability, </w:t>
      </w:r>
      <w:r w:rsidR="002A2441">
        <w:rPr>
          <w:rFonts w:cstheme="minorHAnsi"/>
          <w:sz w:val="19"/>
          <w:szCs w:val="19"/>
        </w:rPr>
        <w:t>A</w:t>
      </w:r>
      <w:r>
        <w:rPr>
          <w:rFonts w:cstheme="minorHAnsi"/>
          <w:sz w:val="19"/>
          <w:szCs w:val="19"/>
        </w:rPr>
        <w:t xml:space="preserve">udit and </w:t>
      </w:r>
      <w:r w:rsidR="002A2441">
        <w:rPr>
          <w:rFonts w:cstheme="minorHAnsi"/>
          <w:sz w:val="19"/>
          <w:szCs w:val="19"/>
        </w:rPr>
        <w:t>P</w:t>
      </w:r>
      <w:r>
        <w:rPr>
          <w:rFonts w:cstheme="minorHAnsi"/>
          <w:sz w:val="19"/>
          <w:szCs w:val="19"/>
        </w:rPr>
        <w:t>lanning, Lockheed Martin</w:t>
      </w:r>
    </w:p>
    <w:p w14:paraId="0F08F648" w14:textId="77777777" w:rsidR="00B63769" w:rsidRPr="00D94CE1" w:rsidRDefault="00B63769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 w:rsidRPr="00D94CE1">
        <w:rPr>
          <w:rFonts w:cstheme="minorHAnsi"/>
          <w:sz w:val="19"/>
          <w:szCs w:val="19"/>
        </w:rPr>
        <w:t>Paula Loomis, PhD, FAIA, FSAME, AICP, LEED AP, Colonel USAFR (ret), Efficiency/Life-Cycle Work Group</w:t>
      </w:r>
    </w:p>
    <w:p w14:paraId="2ADF70E2" w14:textId="7C247A0C" w:rsidR="00D06A3C" w:rsidRPr="00D94CE1" w:rsidRDefault="00AB5170" w:rsidP="009C050E">
      <w:pPr>
        <w:pStyle w:val="ListParagraph"/>
        <w:numPr>
          <w:ilvl w:val="0"/>
          <w:numId w:val="2"/>
        </w:numPr>
        <w:ind w:left="36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Cathy Otis AIA and </w:t>
      </w:r>
      <w:r w:rsidR="00B63769" w:rsidRPr="00D94CE1">
        <w:rPr>
          <w:rFonts w:cstheme="minorHAnsi"/>
          <w:sz w:val="19"/>
          <w:szCs w:val="19"/>
        </w:rPr>
        <w:t xml:space="preserve">Patrick Hogeboom, PE, Colonel Army (ret), </w:t>
      </w:r>
      <w:r>
        <w:rPr>
          <w:rFonts w:cstheme="minorHAnsi"/>
          <w:sz w:val="19"/>
          <w:szCs w:val="19"/>
        </w:rPr>
        <w:t xml:space="preserve">COI chairs </w:t>
      </w:r>
    </w:p>
    <w:p w14:paraId="69535EE6" w14:textId="77777777" w:rsidR="009C050E" w:rsidRPr="002A2441" w:rsidRDefault="009C050E">
      <w:pPr>
        <w:rPr>
          <w:sz w:val="10"/>
          <w:szCs w:val="10"/>
        </w:rPr>
      </w:pPr>
    </w:p>
    <w:p w14:paraId="1F613FD7" w14:textId="54672583" w:rsidR="00CE55D4" w:rsidRPr="00D94CE1" w:rsidRDefault="00CE55D4">
      <w:pPr>
        <w:rPr>
          <w:b/>
          <w:bCs/>
          <w:sz w:val="19"/>
          <w:szCs w:val="19"/>
        </w:rPr>
      </w:pPr>
      <w:r w:rsidRPr="00D94CE1">
        <w:rPr>
          <w:b/>
          <w:bCs/>
          <w:sz w:val="19"/>
          <w:szCs w:val="19"/>
        </w:rPr>
        <w:t xml:space="preserve">Intended </w:t>
      </w:r>
      <w:r w:rsidR="00512C54">
        <w:rPr>
          <w:b/>
          <w:bCs/>
          <w:sz w:val="19"/>
          <w:szCs w:val="19"/>
        </w:rPr>
        <w:t>Outcome</w:t>
      </w:r>
      <w:r w:rsidRPr="00D94CE1">
        <w:rPr>
          <w:b/>
          <w:bCs/>
          <w:sz w:val="19"/>
          <w:szCs w:val="19"/>
        </w:rPr>
        <w:t>:</w:t>
      </w:r>
    </w:p>
    <w:sdt>
      <w:sdtPr>
        <w:rPr>
          <w:sz w:val="19"/>
          <w:szCs w:val="19"/>
        </w:rPr>
        <w:id w:val="-603198971"/>
        <w:placeholder>
          <w:docPart w:val="FC62910482FD5F4E9931BEA9F870DAA4"/>
        </w:placeholder>
      </w:sdtPr>
      <w:sdtContent>
        <w:p w14:paraId="6A31C3AC" w14:textId="7B40C6AD" w:rsidR="001F70C4" w:rsidRPr="00D94CE1" w:rsidRDefault="00AB5170" w:rsidP="00AB5170">
          <w:pPr>
            <w:pStyle w:val="ListParagraph"/>
            <w:numPr>
              <w:ilvl w:val="0"/>
              <w:numId w:val="2"/>
            </w:numPr>
            <w:rPr>
              <w:rFonts w:cstheme="minorHAnsi"/>
              <w:sz w:val="19"/>
              <w:szCs w:val="19"/>
            </w:rPr>
          </w:pPr>
          <w:r>
            <w:rPr>
              <w:sz w:val="19"/>
              <w:szCs w:val="19"/>
            </w:rPr>
            <w:t>W</w:t>
          </w:r>
          <w:r w:rsidR="005D0A13" w:rsidRPr="00D94CE1">
            <w:rPr>
              <w:sz w:val="19"/>
              <w:szCs w:val="19"/>
            </w:rPr>
            <w:t xml:space="preserve">hite papers </w:t>
          </w:r>
          <w:r w:rsidR="00512C54">
            <w:rPr>
              <w:sz w:val="19"/>
              <w:szCs w:val="19"/>
            </w:rPr>
            <w:t xml:space="preserve">defining how to functionally address trend convergence </w:t>
          </w:r>
          <w:r w:rsidR="005D0A13" w:rsidRPr="00D94CE1">
            <w:rPr>
              <w:sz w:val="19"/>
              <w:szCs w:val="19"/>
            </w:rPr>
            <w:t xml:space="preserve">and proposed updates to federal facility planning guidance based on assessments of emerging threats, trends, capabilities, and industry best practices. </w:t>
          </w:r>
        </w:p>
        <w:p w14:paraId="711A8FB5" w14:textId="12778A15" w:rsidR="005D0A13" w:rsidRPr="00827A05" w:rsidRDefault="00512C54" w:rsidP="00AB5170">
          <w:pPr>
            <w:pStyle w:val="ListParagraph"/>
            <w:numPr>
              <w:ilvl w:val="0"/>
              <w:numId w:val="2"/>
            </w:numPr>
            <w:rPr>
              <w:rFonts w:cstheme="minorHAnsi"/>
              <w:sz w:val="19"/>
              <w:szCs w:val="19"/>
            </w:rPr>
          </w:pPr>
          <w:r>
            <w:rPr>
              <w:sz w:val="19"/>
              <w:szCs w:val="19"/>
            </w:rPr>
            <w:t xml:space="preserve">Cross functional integration of players and stakeholders in </w:t>
          </w:r>
          <w:r w:rsidR="00747FF3">
            <w:rPr>
              <w:sz w:val="19"/>
              <w:szCs w:val="19"/>
            </w:rPr>
            <w:t>actionable d</w:t>
          </w:r>
          <w:r>
            <w:rPr>
              <w:sz w:val="19"/>
              <w:szCs w:val="19"/>
            </w:rPr>
            <w:t>octrin</w:t>
          </w:r>
          <w:r w:rsidR="00747FF3">
            <w:rPr>
              <w:sz w:val="19"/>
              <w:szCs w:val="19"/>
            </w:rPr>
            <w:t xml:space="preserve">al, </w:t>
          </w:r>
          <w:r>
            <w:rPr>
              <w:sz w:val="19"/>
              <w:szCs w:val="19"/>
            </w:rPr>
            <w:t xml:space="preserve">policy </w:t>
          </w:r>
          <w:r w:rsidR="00747FF3">
            <w:rPr>
              <w:sz w:val="19"/>
              <w:szCs w:val="19"/>
            </w:rPr>
            <w:t xml:space="preserve">and procedural </w:t>
          </w:r>
          <w:r>
            <w:rPr>
              <w:sz w:val="19"/>
              <w:szCs w:val="19"/>
            </w:rPr>
            <w:t xml:space="preserve">changes to consider. </w:t>
          </w:r>
        </w:p>
        <w:p w14:paraId="226B5F0B" w14:textId="561C97AB" w:rsidR="00125AE0" w:rsidRPr="002A2441" w:rsidRDefault="00827A05" w:rsidP="00F8501D">
          <w:pPr>
            <w:pStyle w:val="ListParagraph"/>
            <w:numPr>
              <w:ilvl w:val="0"/>
              <w:numId w:val="2"/>
            </w:numPr>
            <w:rPr>
              <w:rFonts w:cstheme="minorHAnsi"/>
              <w:sz w:val="19"/>
              <w:szCs w:val="19"/>
            </w:rPr>
          </w:pPr>
          <w:r>
            <w:rPr>
              <w:sz w:val="19"/>
              <w:szCs w:val="19"/>
            </w:rPr>
            <w:t xml:space="preserve">Introduction of new technologies, best practices, and access to industry experts for federal facility planners to enhance programs for resilience, operational requirements, and workforce.   </w:t>
          </w:r>
        </w:p>
      </w:sdtContent>
    </w:sdt>
    <w:p w14:paraId="0F54F110" w14:textId="77777777" w:rsidR="002A2441" w:rsidRPr="002A2441" w:rsidRDefault="002A2441" w:rsidP="002A2441">
      <w:pPr>
        <w:rPr>
          <w:rFonts w:cstheme="minorHAnsi"/>
          <w:sz w:val="10"/>
          <w:szCs w:val="10"/>
        </w:rPr>
      </w:pPr>
    </w:p>
    <w:p w14:paraId="4A0F35F2" w14:textId="344327A7" w:rsidR="002A2441" w:rsidRPr="002A2441" w:rsidRDefault="002A2441" w:rsidP="002A2441">
      <w:pPr>
        <w:rPr>
          <w:rFonts w:cstheme="minorHAnsi"/>
          <w:b/>
          <w:bCs/>
          <w:sz w:val="19"/>
          <w:szCs w:val="19"/>
        </w:rPr>
      </w:pPr>
      <w:r w:rsidRPr="002A2441">
        <w:rPr>
          <w:rFonts w:cstheme="minorHAnsi"/>
          <w:b/>
          <w:bCs/>
          <w:sz w:val="19"/>
          <w:szCs w:val="19"/>
        </w:rPr>
        <w:t>Questions for EAG:</w:t>
      </w:r>
    </w:p>
    <w:p w14:paraId="676D5FB0" w14:textId="5D1ACCD0" w:rsidR="002A2441" w:rsidRDefault="002A2441" w:rsidP="002A2441">
      <w:pPr>
        <w:pStyle w:val="ListParagraph"/>
        <w:numPr>
          <w:ilvl w:val="0"/>
          <w:numId w:val="2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Please confirm your service representatives</w:t>
      </w:r>
    </w:p>
    <w:p w14:paraId="1A6433BF" w14:textId="51FB6449" w:rsidR="002A2441" w:rsidRPr="002A2441" w:rsidRDefault="002A2441" w:rsidP="002A2441">
      <w:pPr>
        <w:pStyle w:val="ListParagraph"/>
        <w:numPr>
          <w:ilvl w:val="0"/>
          <w:numId w:val="2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Please provide any additional outcomes/questions answered that would benefit your service</w:t>
      </w:r>
    </w:p>
    <w:sectPr w:rsidR="002A2441" w:rsidRPr="002A2441" w:rsidSect="002A2441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A79AD"/>
    <w:multiLevelType w:val="hybridMultilevel"/>
    <w:tmpl w:val="F490C84A"/>
    <w:lvl w:ilvl="0" w:tplc="0284CA0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57FA"/>
    <w:multiLevelType w:val="hybridMultilevel"/>
    <w:tmpl w:val="78E0C67E"/>
    <w:lvl w:ilvl="0" w:tplc="748A4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784">
    <w:abstractNumId w:val="0"/>
  </w:num>
  <w:num w:numId="2" w16cid:durableId="163200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E0"/>
    <w:rsid w:val="000753BA"/>
    <w:rsid w:val="0008542E"/>
    <w:rsid w:val="000A3286"/>
    <w:rsid w:val="00125AE0"/>
    <w:rsid w:val="00133037"/>
    <w:rsid w:val="001B1C9A"/>
    <w:rsid w:val="001F70C4"/>
    <w:rsid w:val="00265BA1"/>
    <w:rsid w:val="00273681"/>
    <w:rsid w:val="002A2441"/>
    <w:rsid w:val="00342542"/>
    <w:rsid w:val="003609C5"/>
    <w:rsid w:val="003A140A"/>
    <w:rsid w:val="003E7FE4"/>
    <w:rsid w:val="00447914"/>
    <w:rsid w:val="004F7A8B"/>
    <w:rsid w:val="00512C54"/>
    <w:rsid w:val="00517C02"/>
    <w:rsid w:val="00570C2C"/>
    <w:rsid w:val="005D0A13"/>
    <w:rsid w:val="00702711"/>
    <w:rsid w:val="00747FF3"/>
    <w:rsid w:val="00827A05"/>
    <w:rsid w:val="00934456"/>
    <w:rsid w:val="009C050E"/>
    <w:rsid w:val="00A86047"/>
    <w:rsid w:val="00AB5170"/>
    <w:rsid w:val="00AC3538"/>
    <w:rsid w:val="00AC5D78"/>
    <w:rsid w:val="00AF6295"/>
    <w:rsid w:val="00B2665C"/>
    <w:rsid w:val="00B334D5"/>
    <w:rsid w:val="00B63769"/>
    <w:rsid w:val="00B97CF9"/>
    <w:rsid w:val="00BD2A8E"/>
    <w:rsid w:val="00C63E82"/>
    <w:rsid w:val="00CE55D4"/>
    <w:rsid w:val="00D06A3C"/>
    <w:rsid w:val="00D21C54"/>
    <w:rsid w:val="00D94CE1"/>
    <w:rsid w:val="00ED5446"/>
    <w:rsid w:val="00F8501D"/>
    <w:rsid w:val="00F96776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583A"/>
  <w15:chartTrackingRefBased/>
  <w15:docId w15:val="{A0621657-FFBA-3C4B-B7E1-DAA10DB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82"/>
    <w:pPr>
      <w:ind w:left="720"/>
      <w:contextualSpacing/>
    </w:pPr>
  </w:style>
  <w:style w:type="paragraph" w:styleId="Revision">
    <w:name w:val="Revision"/>
    <w:hidden/>
    <w:uiPriority w:val="99"/>
    <w:semiHidden/>
    <w:rsid w:val="00FB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62910482FD5F4E9931BEA9F870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256B-4098-F94B-B8FB-797EED4B1B57}"/>
      </w:docPartPr>
      <w:docPartBody>
        <w:p w:rsidR="009F52DA" w:rsidRDefault="00B35CB8" w:rsidP="00B35CB8">
          <w:pPr>
            <w:pStyle w:val="FC62910482FD5F4E9931BEA9F870DAA4"/>
          </w:pPr>
          <w:r w:rsidRPr="00AA68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B8"/>
    <w:rsid w:val="00114FD5"/>
    <w:rsid w:val="002A1579"/>
    <w:rsid w:val="003A140A"/>
    <w:rsid w:val="005D1359"/>
    <w:rsid w:val="008E0072"/>
    <w:rsid w:val="009511E1"/>
    <w:rsid w:val="009F52DA"/>
    <w:rsid w:val="00A6787A"/>
    <w:rsid w:val="00B35CB8"/>
    <w:rsid w:val="00DF2E31"/>
    <w:rsid w:val="00EE0C29"/>
    <w:rsid w:val="00F0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CB8"/>
    <w:rPr>
      <w:color w:val="808080"/>
    </w:rPr>
  </w:style>
  <w:style w:type="paragraph" w:customStyle="1" w:styleId="FC62910482FD5F4E9931BEA9F870DAA4">
    <w:name w:val="FC62910482FD5F4E9931BEA9F870DAA4"/>
    <w:rsid w:val="00B35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Loomis</dc:creator>
  <cp:keywords/>
  <dc:description/>
  <cp:lastModifiedBy>Stephen</cp:lastModifiedBy>
  <cp:revision>2</cp:revision>
  <dcterms:created xsi:type="dcterms:W3CDTF">2024-06-25T17:46:00Z</dcterms:created>
  <dcterms:modified xsi:type="dcterms:W3CDTF">2024-06-25T17:46:00Z</dcterms:modified>
</cp:coreProperties>
</file>